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DIRECCIÓN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CUMPLIMIENTO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FINANCIERO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114" w:hanging="1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35.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adscrita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Especial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</w:rPr>
        <w:t> </w:t>
      </w:r>
      <w:r>
        <w:rPr>
          <w:b w:val="0"/>
        </w:rPr>
        <w:t>e</w:t>
      </w:r>
      <w:r>
        <w:rPr>
          <w:rFonts w:ascii="Times New Roman" w:hAnsi="Times New Roman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</w:rPr>
        <w:t> </w:t>
      </w:r>
      <w:r>
        <w:rPr>
          <w:b w:val="0"/>
        </w:rPr>
        <w:t>Física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3" w:after="0"/>
        <w:ind w:left="112" w:right="758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3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1" w:after="0"/>
        <w:ind w:left="112" w:right="110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64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7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4" w:val="left" w:leader="none"/>
        </w:tabs>
        <w:spacing w:line="240" w:lineRule="auto" w:before="234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Vigilar,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BodyText"/>
        <w:spacing w:before="19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before="1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63" w:after="0"/>
        <w:ind w:left="389" w:right="0" w:hanging="277"/>
        <w:jc w:val="left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112" w:right="117" w:firstLine="0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4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obtenidos,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registrados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controlados;</w:t>
      </w: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234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pacing w:val="6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pacing w:val="6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objetivos</w:t>
      </w:r>
      <w:r>
        <w:rPr>
          <w:rFonts w:ascii="Times New Roman"/>
          <w:spacing w:val="6"/>
        </w:rPr>
        <w:t> </w:t>
      </w:r>
      <w:r>
        <w:rPr>
          <w:b w:val="0"/>
          <w:spacing w:val="-2"/>
        </w:rPr>
        <w:t>previstos;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44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233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trasferidos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0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Guiar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234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1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5"/>
          <w:sz w:val="20"/>
        </w:rPr>
        <w:t>de:</w:t>
      </w: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right="15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verificar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mismos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causaron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1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1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fiscalizables.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233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234" w:after="0"/>
        <w:ind w:left="627" w:right="0" w:hanging="515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40" w:lineRule="auto" w:before="189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ayuda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5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3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3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especifiquen,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6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68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86" w:val="left" w:leader="none"/>
        </w:tabs>
        <w:spacing w:line="240" w:lineRule="auto" w:before="186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2024-11-07T16:29:19Z</dcterms:created>
  <dcterms:modified xsi:type="dcterms:W3CDTF">2024-11-07T16:29:19Z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