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330139" cy="63474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139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182" w:lineRule="exact" w:before="0"/>
        <w:ind w:left="0" w:right="112" w:firstLine="0"/>
        <w:jc w:val="right"/>
        <w:rPr>
          <w:b w:val="0"/>
          <w:sz w:val="16"/>
        </w:rPr>
      </w:pPr>
      <w:r>
        <w:rPr>
          <w:b w:val="0"/>
          <w:sz w:val="16"/>
        </w:rPr>
        <w:t>Publicada</w:t>
      </w:r>
      <w:r>
        <w:rPr>
          <w:rFonts w:ascii="Times New Roman" w:hAnsi="Times New Roman"/>
          <w:spacing w:val="4"/>
          <w:sz w:val="16"/>
        </w:rPr>
        <w:t> </w:t>
      </w:r>
      <w:r>
        <w:rPr>
          <w:b w:val="0"/>
          <w:sz w:val="16"/>
        </w:rPr>
        <w:t>en</w:t>
      </w:r>
      <w:r>
        <w:rPr>
          <w:rFonts w:ascii="Times New Roman" w:hAnsi="Times New Roman"/>
          <w:spacing w:val="5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Periódico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Oficial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“Gaceta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del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Gobierno”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12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1"/>
          <w:sz w:val="16"/>
        </w:rPr>
        <w:t> </w:t>
      </w:r>
      <w:r>
        <w:rPr>
          <w:b w:val="0"/>
          <w:sz w:val="16"/>
        </w:rPr>
        <w:t>agosto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2"/>
          <w:sz w:val="16"/>
        </w:rPr>
        <w:t> </w:t>
      </w:r>
      <w:r>
        <w:rPr>
          <w:b w:val="0"/>
          <w:spacing w:val="-2"/>
          <w:sz w:val="16"/>
        </w:rPr>
        <w:t>2021.</w:t>
      </w:r>
    </w:p>
    <w:p>
      <w:pPr>
        <w:spacing w:line="188" w:lineRule="exact" w:before="0"/>
        <w:ind w:left="0" w:right="110" w:firstLine="0"/>
        <w:jc w:val="right"/>
        <w:rPr>
          <w:b w:val="0"/>
          <w:i/>
          <w:sz w:val="16"/>
        </w:rPr>
      </w:pPr>
      <w:r>
        <w:rPr>
          <w:b w:val="0"/>
          <w:i/>
          <w:color w:val="4371C4"/>
          <w:sz w:val="16"/>
        </w:rPr>
        <w:t>Última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reforma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POGG:</w:t>
      </w:r>
      <w:r>
        <w:rPr>
          <w:rFonts w:ascii="Times New Roman" w:hAnsi="Times New Roman"/>
          <w:color w:val="4371C4"/>
          <w:spacing w:val="4"/>
          <w:sz w:val="16"/>
        </w:rPr>
        <w:t> </w:t>
      </w:r>
      <w:r>
        <w:rPr>
          <w:b w:val="0"/>
          <w:i/>
          <w:color w:val="4371C4"/>
          <w:sz w:val="16"/>
        </w:rPr>
        <w:t>14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octubre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pacing w:val="-4"/>
          <w:sz w:val="16"/>
        </w:rPr>
        <w:t>2024.</w:t>
      </w:r>
    </w:p>
    <w:p>
      <w:pPr>
        <w:pStyle w:val="BodyText"/>
        <w:spacing w:before="187"/>
        <w:rPr>
          <w:b w:val="0"/>
          <w:i/>
        </w:rPr>
      </w:pPr>
    </w:p>
    <w:p>
      <w:pPr>
        <w:pStyle w:val="BodyText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spacing w:before="1"/>
        <w:ind w:right="4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DEL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CONTENCIOSO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Y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APOYO</w:t>
      </w:r>
      <w:r>
        <w:rPr>
          <w:rFonts w:ascii="Times New Roman" w:hAnsi="Times New Roman"/>
          <w:spacing w:val="10"/>
        </w:rPr>
        <w:t> </w:t>
      </w:r>
      <w:r>
        <w:rPr>
          <w:b/>
          <w:spacing w:val="-2"/>
        </w:rPr>
        <w:t>JURÍDICO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2" w:right="112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55.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Departamento</w:t>
      </w:r>
      <w:r>
        <w:rPr>
          <w:rFonts w:ascii="Times New Roman" w:hAnsi="Times New Roman"/>
        </w:rPr>
        <w:t> </w:t>
      </w:r>
      <w:r>
        <w:rPr>
          <w:b w:val="0"/>
        </w:rPr>
        <w:t>Contencioso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Apoyo</w:t>
      </w:r>
      <w:r>
        <w:rPr>
          <w:rFonts w:ascii="Times New Roman" w:hAnsi="Times New Roman"/>
        </w:rPr>
        <w:t> </w:t>
      </w:r>
      <w:r>
        <w:rPr>
          <w:b w:val="0"/>
        </w:rPr>
        <w:t>Jurídico</w:t>
      </w:r>
      <w:r>
        <w:rPr>
          <w:rFonts w:ascii="Times New Roman" w:hAnsi="Times New Roman"/>
        </w:rPr>
        <w:t> </w:t>
      </w:r>
      <w:r>
        <w:rPr>
          <w:b w:val="0"/>
        </w:rPr>
        <w:t>estará</w:t>
      </w:r>
      <w:r>
        <w:rPr>
          <w:rFonts w:ascii="Times New Roman" w:hAnsi="Times New Roman"/>
        </w:rPr>
        <w:t> </w:t>
      </w:r>
      <w:r>
        <w:rPr>
          <w:b w:val="0"/>
        </w:rPr>
        <w:t>adscrito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Jurídico</w:t>
      </w:r>
      <w:r>
        <w:rPr>
          <w:rFonts w:ascii="Times New Roman" w:hAnsi="Times New Roman"/>
        </w:rPr>
        <w:t> </w:t>
      </w:r>
      <w:r>
        <w:rPr>
          <w:b w:val="0"/>
        </w:rPr>
        <w:t>Consultivo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judiciales,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penales,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patrimoniales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contencioso-administrativas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demandas,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pruebas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alegatos,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sentencias,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ordinarios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extraordinarios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defensa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intereses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actúe;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Presentar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querellas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hechos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afecten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hacienda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patrimonio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trámite,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legítimo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procedan;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234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presentarse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judicial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Ministerio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delitos,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reserva,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desistimiento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suspensión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esté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satisfecha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daño,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Constitución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Mexicanos;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querellas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64"/>
        <w:jc w:val="both"/>
        <w:rPr>
          <w:b w:val="0"/>
          <w:sz w:val="20"/>
        </w:rPr>
      </w:pPr>
      <w:r>
        <w:rPr>
          <w:b w:val="0"/>
          <w:sz w:val="20"/>
        </w:rPr>
        <w:t>Intervenir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amparo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Superior;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Tramitar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resolver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imposición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apremio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respuestas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particulares;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1" w:after="0"/>
        <w:ind w:left="536" w:right="0" w:hanging="424"/>
        <w:jc w:val="left"/>
        <w:rPr>
          <w:b w:val="0"/>
          <w:sz w:val="20"/>
        </w:rPr>
      </w:pPr>
      <w:r>
        <w:rPr>
          <w:b w:val="0"/>
          <w:sz w:val="20"/>
        </w:rPr>
        <w:t>Presentar,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juicio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político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procedan;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112" w:right="114" w:firstLine="0"/>
        <w:jc w:val="left"/>
        <w:rPr>
          <w:b w:val="0"/>
          <w:sz w:val="20"/>
        </w:rPr>
      </w:pPr>
      <w:r>
        <w:rPr>
          <w:b w:val="0"/>
          <w:sz w:val="20"/>
        </w:rPr>
        <w:t>Desarrollar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competencia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pleno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respeto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principio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Solicitar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cobro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créditos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fiscales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competente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imposición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apremio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3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88" w:val="left" w:leader="none"/>
        </w:tabs>
        <w:spacing w:line="240" w:lineRule="auto" w:before="1" w:after="0"/>
        <w:ind w:left="112" w:right="110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0"/>
        <w:ind w:left="6427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IX.)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footerReference w:type="default" r:id="rId5"/>
      <w:type w:val="continuous"/>
      <w:pgSz w:w="12240" w:h="15840"/>
      <w:pgMar w:header="0" w:footer="1101" w:top="280" w:bottom="130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1.839958pt;margin-top:727.987183pt;width:408.15pt;height:11.45pt;mso-position-horizontal-relative:page;mso-position-vertical-relative:page;z-index:-1576192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2024-11-07T17:25:13Z</dcterms:created>
  <dcterms:modified xsi:type="dcterms:W3CDTF">2024-11-07T17:25:13Z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