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ind w:left="0"/>
        <w:rPr>
          <w:rFonts w:ascii="Times New Roman"/>
        </w:rPr>
      </w:pPr>
    </w:p>
    <w:p>
      <w:pPr>
        <w:pStyle w:val="BodyText"/>
        <w:ind w:left="0" w:right="6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IV</w:t>
      </w:r>
    </w:p>
    <w:p>
      <w:pPr>
        <w:pStyle w:val="BodyText"/>
        <w:ind w:left="0" w:right="6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DEL</w:t>
      </w:r>
      <w:r>
        <w:rPr>
          <w:rFonts w:ascii="Times New Roman" w:hAnsi="Times New Roman"/>
        </w:rPr>
        <w:t> </w:t>
      </w:r>
      <w:r>
        <w:rPr>
          <w:b/>
        </w:rPr>
        <w:t>DEPARTAMENTO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NORMATIVIDAD</w:t>
      </w:r>
      <w:r>
        <w:rPr>
          <w:rFonts w:ascii="Times New Roman" w:hAnsi="Times New Roman"/>
        </w:rPr>
        <w:t> </w:t>
      </w:r>
      <w:r>
        <w:rPr>
          <w:b/>
        </w:rPr>
        <w:t>Y</w:t>
      </w:r>
      <w:r>
        <w:rPr>
          <w:rFonts w:ascii="Times New Roman" w:hAnsi="Times New Roman"/>
        </w:rPr>
        <w:t> </w:t>
      </w:r>
      <w:r>
        <w:rPr>
          <w:b/>
        </w:rPr>
        <w:t>SEGUIMIENTO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OBLIGACIONES</w:t>
      </w:r>
      <w:r>
        <w:rPr>
          <w:rFonts w:ascii="Times New Roman" w:hAnsi="Times New Roman"/>
        </w:rPr>
        <w:t> </w:t>
      </w:r>
      <w:r>
        <w:rPr>
          <w:b/>
        </w:rPr>
        <w:t>PERIÓDICAS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ind w:right="113"/>
        <w:jc w:val="both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56.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Departamento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Normatividad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Obligaciones</w:t>
      </w:r>
      <w:r>
        <w:rPr>
          <w:rFonts w:ascii="Times New Roman" w:hAnsi="Times New Roman"/>
        </w:rPr>
        <w:t> </w:t>
      </w:r>
      <w:r>
        <w:rPr>
          <w:b w:val="0"/>
        </w:rPr>
        <w:t>Periódicas</w:t>
      </w:r>
      <w:r>
        <w:rPr>
          <w:rFonts w:ascii="Times New Roman" w:hAnsi="Times New Roman"/>
        </w:rPr>
        <w:t> </w:t>
      </w:r>
      <w:r>
        <w:rPr>
          <w:b w:val="0"/>
        </w:rPr>
        <w:t>estará</w:t>
      </w:r>
      <w:r>
        <w:rPr>
          <w:rFonts w:ascii="Times New Roman" w:hAnsi="Times New Roman"/>
        </w:rPr>
        <w:t> </w:t>
      </w:r>
      <w:r>
        <w:rPr>
          <w:b w:val="0"/>
        </w:rPr>
        <w:t>adscrito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Jurídico</w:t>
      </w:r>
      <w:r>
        <w:rPr>
          <w:rFonts w:ascii="Times New Roman" w:hAnsi="Times New Roman"/>
        </w:rPr>
        <w:t> </w:t>
      </w:r>
      <w:r>
        <w:rPr>
          <w:b w:val="0"/>
        </w:rPr>
        <w:t>Consultivo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234" w:after="0"/>
        <w:ind w:left="112" w:right="114" w:firstLine="0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imposición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apremio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someterlos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233" w:after="0"/>
        <w:ind w:left="393" w:right="0" w:hanging="281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"/>
        <w:ind w:left="0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2" w:right="0" w:hanging="360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ind w:left="0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créditos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imposición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apremio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fiscalizables;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234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234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Desarrollar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pleno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principio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jurídica;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listado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formal;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234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Asesorar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sujetos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soliciten;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88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obligaciones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periódicas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70" w:val="left" w:leader="none"/>
        </w:tabs>
        <w:spacing w:line="240" w:lineRule="auto" w:before="234" w:after="0"/>
        <w:ind w:left="112" w:right="110" w:hanging="1"/>
        <w:jc w:val="both"/>
        <w:rPr>
          <w:b w:val="0"/>
          <w:sz w:val="20"/>
        </w:rPr>
      </w:pPr>
      <w:r>
        <w:rPr>
          <w:b w:val="0"/>
          <w:sz w:val="20"/>
        </w:rPr>
        <w:t>Tramitar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publicación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obligaciones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periódicas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relacionados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marco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8" w:val="left" w:leader="none"/>
        </w:tabs>
        <w:spacing w:line="240" w:lineRule="auto" w:before="0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Analizar,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difundir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criterios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doctrinarios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pudieran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impactar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7" w:val="left" w:leader="none"/>
        </w:tabs>
        <w:spacing w:line="240" w:lineRule="auto" w:before="234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propuestas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actualización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marco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someterlas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aprobación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Analizar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decisiones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tome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CONAC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propuestas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modificación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CACEM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532" w:right="0" w:hanging="42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56"/>
          <w:w w:val="15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57"/>
          <w:w w:val="150"/>
          <w:sz w:val="20"/>
        </w:rPr>
        <w:t> </w:t>
      </w:r>
      <w:r>
        <w:rPr>
          <w:b w:val="0"/>
          <w:sz w:val="20"/>
        </w:rPr>
        <w:t>propuestas</w:t>
      </w:r>
      <w:r>
        <w:rPr>
          <w:rFonts w:ascii="Times New Roman" w:hAnsi="Times New Roman"/>
          <w:spacing w:val="55"/>
          <w:w w:val="15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57"/>
          <w:w w:val="150"/>
          <w:sz w:val="20"/>
        </w:rPr>
        <w:t> </w:t>
      </w:r>
      <w:r>
        <w:rPr>
          <w:b w:val="0"/>
          <w:sz w:val="20"/>
        </w:rPr>
        <w:t>modificación</w:t>
      </w:r>
      <w:r>
        <w:rPr>
          <w:rFonts w:ascii="Times New Roman" w:hAnsi="Times New Roman"/>
          <w:spacing w:val="57"/>
          <w:w w:val="150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58"/>
          <w:w w:val="150"/>
          <w:sz w:val="20"/>
        </w:rPr>
        <w:t> </w:t>
      </w:r>
      <w:r>
        <w:rPr>
          <w:b w:val="0"/>
          <w:sz w:val="20"/>
        </w:rPr>
        <w:t>Manual</w:t>
      </w:r>
      <w:r>
        <w:rPr>
          <w:rFonts w:ascii="Times New Roman" w:hAnsi="Times New Roman"/>
          <w:spacing w:val="55"/>
          <w:w w:val="150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pacing w:val="56"/>
          <w:w w:val="15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58"/>
          <w:w w:val="150"/>
          <w:sz w:val="20"/>
        </w:rPr>
        <w:t> </w:t>
      </w:r>
      <w:r>
        <w:rPr>
          <w:b w:val="0"/>
          <w:sz w:val="20"/>
        </w:rPr>
        <w:t>Contabilidad</w:t>
      </w:r>
      <w:r>
        <w:rPr>
          <w:rFonts w:ascii="Times New Roman" w:hAnsi="Times New Roman"/>
          <w:spacing w:val="78"/>
          <w:sz w:val="20"/>
        </w:rPr>
        <w:t> </w:t>
      </w:r>
      <w:r>
        <w:rPr>
          <w:b w:val="0"/>
          <w:spacing w:val="-2"/>
          <w:sz w:val="20"/>
        </w:rPr>
        <w:t>Gubernamental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89"/>
        <w:rPr>
          <w:b w:val="0"/>
        </w:rPr>
      </w:pPr>
      <w:r>
        <w:rPr>
          <w:b w:val="0"/>
        </w:rPr>
        <w:t>realizadas</w:t>
      </w:r>
      <w:r>
        <w:rPr>
          <w:rFonts w:ascii="Times New Roman" w:hAnsi="Times New Roman"/>
        </w:rPr>
        <w:t> </w:t>
      </w:r>
      <w:r>
        <w:rPr>
          <w:b w:val="0"/>
        </w:rPr>
        <w:t>por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unidades</w:t>
      </w:r>
      <w:r>
        <w:rPr>
          <w:rFonts w:ascii="Times New Roman" w:hAnsi="Times New Roman"/>
        </w:rPr>
        <w:t> </w:t>
      </w:r>
      <w:r>
        <w:rPr>
          <w:b w:val="0"/>
        </w:rPr>
        <w:t>administrativas</w:t>
      </w:r>
      <w:r>
        <w:rPr>
          <w:rFonts w:ascii="Times New Roman" w:hAnsi="Times New Roman"/>
        </w:rPr>
        <w:t> </w:t>
      </w:r>
      <w:r>
        <w:rPr>
          <w:b w:val="0"/>
        </w:rPr>
        <w:t>del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Órgano</w:t>
      </w:r>
      <w:r>
        <w:rPr>
          <w:rFonts w:ascii="Times New Roman" w:hAnsi="Times New Roman"/>
        </w:rPr>
        <w:t> </w:t>
      </w:r>
      <w:r>
        <w:rPr>
          <w:b w:val="0"/>
        </w:rPr>
        <w:t>Superior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someterlas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consideración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superior</w:t>
      </w:r>
      <w:r>
        <w:rPr>
          <w:rFonts w:ascii="Times New Roman" w:hAnsi="Times New Roman"/>
        </w:rPr>
        <w:t> </w:t>
      </w:r>
      <w:r>
        <w:rPr>
          <w:b w:val="0"/>
        </w:rPr>
        <w:t>jerárquico,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1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Instrumentar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actas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circunstanciadas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hechos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0"/>
        <w:ind w:left="0" w:right="113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91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1"/>
        <w:ind w:left="631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XVI.)</w:t>
      </w:r>
      <w:r>
        <w:rPr>
          <w:rFonts w:ascii="Times New Roman" w:hAnsi="Times New Roman"/>
          <w:color w:val="2D73B5"/>
          <w:spacing w:val="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688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6908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5856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0112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5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2024-11-07T17:24:03Z</dcterms:created>
  <dcterms:modified xsi:type="dcterms:W3CDTF">2024-11-07T17:24:03Z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